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11217B">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proofErr w:type="gramStart"/>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 (ООО «</w:t>
      </w:r>
      <w:proofErr w:type="spellStart"/>
      <w:r w:rsidRPr="00F279AB">
        <w:rPr>
          <w:rFonts w:ascii="Times New Roman" w:eastAsia="Times New Roman" w:hAnsi="Times New Roman" w:cs="Times New Roman"/>
          <w:b/>
          <w:snapToGrid w:val="0"/>
          <w:color w:val="000000"/>
          <w:sz w:val="24"/>
          <w:szCs w:val="24"/>
        </w:rPr>
        <w:t>Сибстекло</w:t>
      </w:r>
      <w:proofErr w:type="spellEnd"/>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именуемое в дальнейшем «Покупатель», 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 с другой стороны</w:t>
      </w:r>
      <w:proofErr w:type="gramEnd"/>
      <w:r w:rsidRPr="00F279AB">
        <w:rPr>
          <w:rFonts w:ascii="Times New Roman" w:eastAsia="Times New Roman" w:hAnsi="Times New Roman" w:cs="Times New Roman"/>
          <w:color w:val="000000"/>
          <w:sz w:val="24"/>
          <w:szCs w:val="24"/>
        </w:rPr>
        <w:t>,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proofErr w:type="spellStart"/>
      <w:r w:rsidR="00D61E97">
        <w:rPr>
          <w:rFonts w:ascii="Times New Roman" w:eastAsia="Times New Roman" w:hAnsi="Times New Roman" w:cs="Times New Roman"/>
          <w:color w:val="000000"/>
          <w:sz w:val="24"/>
          <w:szCs w:val="24"/>
        </w:rPr>
        <w:t>гранулятор</w:t>
      </w:r>
      <w:proofErr w:type="spellEnd"/>
      <w:r w:rsidR="00D61E97">
        <w:rPr>
          <w:rFonts w:ascii="Times New Roman" w:eastAsia="Times New Roman" w:hAnsi="Times New Roman" w:cs="Times New Roman"/>
          <w:color w:val="000000"/>
          <w:sz w:val="24"/>
          <w:szCs w:val="24"/>
        </w:rPr>
        <w:t xml:space="preserve"> стекломассы</w:t>
      </w:r>
      <w:r w:rsidR="00015DCF"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 xml:space="preserve">(далее «продукцию») в количестве и комплектности согласно Техническому заданию на поставку </w:t>
      </w:r>
      <w:proofErr w:type="spellStart"/>
      <w:r w:rsidR="00D61E97">
        <w:rPr>
          <w:rFonts w:ascii="Times New Roman" w:eastAsia="Times New Roman" w:hAnsi="Times New Roman" w:cs="Times New Roman"/>
          <w:color w:val="000000"/>
          <w:sz w:val="24"/>
          <w:szCs w:val="24"/>
        </w:rPr>
        <w:t>гранулятора</w:t>
      </w:r>
      <w:proofErr w:type="spellEnd"/>
      <w:r w:rsidR="00D61E97">
        <w:rPr>
          <w:rFonts w:ascii="Times New Roman" w:eastAsia="Times New Roman" w:hAnsi="Times New Roman" w:cs="Times New Roman"/>
          <w:color w:val="000000"/>
          <w:sz w:val="24"/>
          <w:szCs w:val="24"/>
        </w:rPr>
        <w:t xml:space="preserve"> стекломассы</w:t>
      </w:r>
      <w:r w:rsidRPr="0011217B">
        <w:rPr>
          <w:rFonts w:ascii="Times New Roman" w:eastAsia="Times New Roman" w:hAnsi="Times New Roman" w:cs="Times New Roman"/>
          <w:color w:val="000000"/>
          <w:sz w:val="24"/>
          <w:szCs w:val="24"/>
        </w:rPr>
        <w:t>,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 xml:space="preserve">(Приложение № </w:t>
      </w:r>
      <w:r w:rsidR="00D61E97">
        <w:rPr>
          <w:rFonts w:ascii="Times New Roman" w:eastAsia="Times New Roman" w:hAnsi="Times New Roman" w:cs="Times New Roman"/>
          <w:b/>
          <w:color w:val="000000"/>
          <w:sz w:val="24"/>
          <w:szCs w:val="24"/>
        </w:rPr>
        <w:t>1</w:t>
      </w:r>
      <w:r w:rsidRPr="00F279AB">
        <w:rPr>
          <w:rFonts w:ascii="Times New Roman" w:eastAsia="Times New Roman" w:hAnsi="Times New Roman" w:cs="Times New Roman"/>
          <w:b/>
          <w:color w:val="000000"/>
          <w:sz w:val="24"/>
          <w:szCs w:val="24"/>
        </w:rPr>
        <w:t>).</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-40% от стоимости продукции в течение 10 (десяти) дней </w:t>
      </w:r>
      <w:r>
        <w:rPr>
          <w:rFonts w:ascii="Times New Roman" w:eastAsia="Times New Roman" w:hAnsi="Times New Roman" w:cs="Times New Roman"/>
          <w:color w:val="000000"/>
          <w:sz w:val="24"/>
          <w:szCs w:val="24"/>
        </w:rPr>
        <w:t>после извещения Поставщика о готовности продукции к отправке;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xml:space="preserve">. </w:t>
      </w:r>
      <w:proofErr w:type="gramStart"/>
      <w:r w:rsidR="00C474F5" w:rsidRPr="00C474F5">
        <w:rPr>
          <w:rFonts w:ascii="Times New Roman" w:eastAsia="Times New Roman" w:hAnsi="Times New Roman" w:cs="Times New Roman"/>
          <w:color w:val="000000"/>
          <w:sz w:val="24"/>
          <w:szCs w:val="24"/>
        </w:rPr>
        <w:t>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roofErr w:type="gramEnd"/>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xml:space="preserve">. Гарантия на поставляемую продукцию распространяется на территории России в течение </w:t>
      </w:r>
      <w:r w:rsidR="00D61E97">
        <w:rPr>
          <w:rFonts w:ascii="Times New Roman" w:eastAsia="Times New Roman" w:hAnsi="Times New Roman" w:cs="Times New Roman"/>
          <w:color w:val="000000"/>
          <w:sz w:val="24"/>
          <w:szCs w:val="24"/>
        </w:rPr>
        <w:t>двух</w:t>
      </w:r>
      <w:bookmarkStart w:id="0" w:name="_GoBack"/>
      <w:bookmarkEnd w:id="0"/>
      <w:r w:rsidRPr="00F279AB">
        <w:rPr>
          <w:rFonts w:ascii="Times New Roman" w:eastAsia="Times New Roman" w:hAnsi="Times New Roman" w:cs="Times New Roman"/>
          <w:color w:val="000000"/>
          <w:sz w:val="24"/>
          <w:szCs w:val="24"/>
        </w:rPr>
        <w:t xml:space="preserve">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 xml:space="preserve">По результатам совместной приемки стороны составляют двухсторонний Акт </w:t>
      </w:r>
      <w:proofErr w:type="gramStart"/>
      <w:r w:rsidRPr="00F279AB">
        <w:rPr>
          <w:rFonts w:ascii="Times New Roman" w:eastAsia="Times New Roman" w:hAnsi="Times New Roman" w:cs="Times New Roman"/>
          <w:bCs/>
          <w:color w:val="000000"/>
          <w:sz w:val="24"/>
          <w:szCs w:val="24"/>
        </w:rPr>
        <w:t>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w:t>
      </w:r>
      <w:proofErr w:type="gramEnd"/>
      <w:r w:rsidRPr="00F279AB">
        <w:rPr>
          <w:rFonts w:ascii="Times New Roman" w:eastAsia="Times New Roman" w:hAnsi="Times New Roman" w:cs="Times New Roman"/>
          <w:bCs/>
          <w:color w:val="000000"/>
          <w:sz w:val="24"/>
          <w:szCs w:val="24"/>
        </w:rPr>
        <w:t xml:space="preserve">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w:t>
      </w:r>
      <w:proofErr w:type="spellStart"/>
      <w:r w:rsidRPr="00F279AB">
        <w:rPr>
          <w:rFonts w:ascii="Times New Roman" w:eastAsia="Times New Roman" w:hAnsi="Times New Roman" w:cs="Times New Roman"/>
          <w:color w:val="000000"/>
          <w:sz w:val="24"/>
        </w:rPr>
        <w:t>фотофиксацию</w:t>
      </w:r>
      <w:proofErr w:type="spellEnd"/>
      <w:r w:rsidRPr="00F279AB">
        <w:rPr>
          <w:rFonts w:ascii="Times New Roman" w:eastAsia="Times New Roman" w:hAnsi="Times New Roman" w:cs="Times New Roman"/>
          <w:color w:val="000000"/>
          <w:sz w:val="24"/>
        </w:rPr>
        <w:t xml:space="preserve">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roofErr w:type="gramStart"/>
      <w:r>
        <w:rPr>
          <w:rFonts w:ascii="Times New Roman" w:eastAsia="Times New Roman" w:hAnsi="Times New Roman" w:cs="Times New Roman"/>
          <w:color w:val="000000"/>
          <w:sz w:val="24"/>
          <w:szCs w:val="24"/>
        </w:rPr>
        <w:t xml:space="preserve"> </w:t>
      </w:r>
      <w:r w:rsidR="0011217B" w:rsidRPr="00F279AB">
        <w:rPr>
          <w:rFonts w:ascii="Times New Roman" w:eastAsia="Times New Roman" w:hAnsi="Times New Roman" w:cs="Times New Roman"/>
          <w:color w:val="000000"/>
          <w:sz w:val="24"/>
          <w:szCs w:val="24"/>
        </w:rPr>
        <w:t>В</w:t>
      </w:r>
      <w:proofErr w:type="gramEnd"/>
      <w:r w:rsidR="0011217B" w:rsidRPr="00F279AB">
        <w:rPr>
          <w:rFonts w:ascii="Times New Roman" w:eastAsia="Times New Roman" w:hAnsi="Times New Roman" w:cs="Times New Roman"/>
          <w:color w:val="000000"/>
          <w:sz w:val="24"/>
          <w:szCs w:val="24"/>
        </w:rPr>
        <w:t xml:space="preserve">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w:t>
      </w:r>
      <w:proofErr w:type="gramStart"/>
      <w:r w:rsidRPr="00F279AB">
        <w:rPr>
          <w:rFonts w:ascii="Times New Roman" w:eastAsia="Times New Roman" w:hAnsi="Times New Roman" w:cs="Times New Roman"/>
          <w:color w:val="000000"/>
          <w:sz w:val="24"/>
          <w:szCs w:val="24"/>
        </w:rPr>
        <w:t>органами</w:t>
      </w:r>
      <w:proofErr w:type="gramEnd"/>
      <w:r w:rsidRPr="00F279AB">
        <w:rPr>
          <w:rFonts w:ascii="Times New Roman" w:eastAsia="Times New Roman" w:hAnsi="Times New Roman" w:cs="Times New Roman"/>
          <w:color w:val="000000"/>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lastRenderedPageBreak/>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 xml:space="preserve">9.4. Договор и другие, в </w:t>
      </w:r>
      <w:proofErr w:type="spellStart"/>
      <w:r w:rsidRPr="00F279AB">
        <w:rPr>
          <w:rFonts w:ascii="Times New Roman" w:eastAsia="Times New Roman" w:hAnsi="Times New Roman" w:cs="Times New Roman"/>
          <w:sz w:val="24"/>
          <w:szCs w:val="24"/>
          <w:lang w:eastAsia="ru-RU"/>
        </w:rPr>
        <w:t>т.ч</w:t>
      </w:r>
      <w:proofErr w:type="spellEnd"/>
      <w:r w:rsidRPr="00F279AB">
        <w:rPr>
          <w:rFonts w:ascii="Times New Roman" w:eastAsia="Times New Roman" w:hAnsi="Times New Roman" w:cs="Times New Roman"/>
          <w:sz w:val="24"/>
          <w:szCs w:val="24"/>
          <w:lang w:eastAsia="ru-RU"/>
        </w:rPr>
        <w:t>.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w:t>
      </w:r>
      <w:proofErr w:type="gramStart"/>
      <w:r w:rsidRPr="006948E1">
        <w:rPr>
          <w:rFonts w:ascii="Times New Roman" w:eastAsia="Times New Roman" w:hAnsi="Times New Roman" w:cs="Times New Roman"/>
          <w:color w:val="000000"/>
          <w:sz w:val="24"/>
          <w:szCs w:val="24"/>
        </w:rPr>
        <w:t>ств ст</w:t>
      </w:r>
      <w:proofErr w:type="gramEnd"/>
      <w:r w:rsidRPr="006948E1">
        <w:rPr>
          <w:rFonts w:ascii="Times New Roman" w:eastAsia="Times New Roman" w:hAnsi="Times New Roman" w:cs="Times New Roman"/>
          <w:color w:val="000000"/>
          <w:sz w:val="24"/>
          <w:szCs w:val="24"/>
        </w:rPr>
        <w:t>оронами</w:t>
      </w:r>
      <w:r w:rsidR="00D2591F">
        <w:rPr>
          <w:rFonts w:ascii="Times New Roman" w:eastAsia="Times New Roman" w:hAnsi="Times New Roman" w:cs="Times New Roman"/>
          <w:color w:val="000000"/>
          <w:sz w:val="24"/>
          <w:szCs w:val="24"/>
        </w:rPr>
        <w:t>.</w:t>
      </w:r>
    </w:p>
    <w:p w:rsidR="0011217B" w:rsidRPr="00F279AB" w:rsidRDefault="0011217B" w:rsidP="006948E1">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 xml:space="preserve">Техническое задание </w:t>
      </w:r>
      <w:r w:rsidRPr="00797EF6">
        <w:rPr>
          <w:rFonts w:ascii="Times New Roman" w:eastAsia="Times New Roman" w:hAnsi="Times New Roman" w:cs="Times New Roman"/>
          <w:color w:val="000000"/>
          <w:sz w:val="24"/>
          <w:szCs w:val="24"/>
        </w:rPr>
        <w:t>на поставку оборудования инспекционного оборудования для контроля полой стеклянной тары</w:t>
      </w:r>
      <w:r>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10.2. Спецификация.</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w:t>
            </w:r>
            <w:proofErr w:type="spellStart"/>
            <w:r w:rsidRPr="00F279AB">
              <w:rPr>
                <w:rFonts w:ascii="Times New Roman" w:eastAsia="Times New Roman" w:hAnsi="Times New Roman" w:cs="Times New Roman"/>
                <w:b/>
                <w:color w:val="000000"/>
                <w:sz w:val="24"/>
                <w:szCs w:val="24"/>
              </w:rPr>
              <w:t>Сибстекло</w:t>
            </w:r>
            <w:proofErr w:type="spellEnd"/>
            <w:r w:rsidRPr="00F279AB">
              <w:rPr>
                <w:rFonts w:ascii="Times New Roman" w:eastAsia="Times New Roman" w:hAnsi="Times New Roman" w:cs="Times New Roman"/>
                <w:b/>
                <w:color w:val="000000"/>
                <w:sz w:val="24"/>
                <w:szCs w:val="24"/>
              </w:rPr>
              <w:t>»</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proofErr w:type="gramStart"/>
            <w:r w:rsidRPr="00F279AB">
              <w:rPr>
                <w:rFonts w:ascii="Times New Roman" w:eastAsia="Times New Roman" w:hAnsi="Times New Roman" w:cs="Times New Roman"/>
                <w:color w:val="000000"/>
                <w:sz w:val="24"/>
                <w:szCs w:val="24"/>
              </w:rPr>
              <w:t>р</w:t>
            </w:r>
            <w:proofErr w:type="gramEnd"/>
            <w:r w:rsidRPr="00F279AB">
              <w:rPr>
                <w:rFonts w:ascii="Times New Roman" w:eastAsia="Times New Roman" w:hAnsi="Times New Roman" w:cs="Times New Roman"/>
                <w:color w:val="000000"/>
                <w:sz w:val="24"/>
                <w:szCs w:val="24"/>
              </w:rPr>
              <w:t>/</w:t>
            </w:r>
            <w:proofErr w:type="spellStart"/>
            <w:r w:rsidRPr="00F279AB">
              <w:rPr>
                <w:rFonts w:ascii="Times New Roman" w:eastAsia="Times New Roman" w:hAnsi="Times New Roman" w:cs="Times New Roman"/>
                <w:color w:val="000000"/>
                <w:sz w:val="24"/>
                <w:szCs w:val="24"/>
              </w:rPr>
              <w:t>сч</w:t>
            </w:r>
            <w:proofErr w:type="spellEnd"/>
            <w:r w:rsidRPr="00F279AB">
              <w:rPr>
                <w:rFonts w:ascii="Times New Roman" w:eastAsia="Times New Roman" w:hAnsi="Times New Roman" w:cs="Times New Roman"/>
                <w:color w:val="000000"/>
                <w:sz w:val="24"/>
                <w:szCs w:val="24"/>
              </w:rPr>
              <w:t>.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в Филиале ООО «</w:t>
            </w:r>
            <w:proofErr w:type="spellStart"/>
            <w:r w:rsidRPr="00F279AB">
              <w:rPr>
                <w:rFonts w:ascii="Times New Roman" w:eastAsia="Times New Roman" w:hAnsi="Times New Roman" w:cs="Times New Roman"/>
                <w:color w:val="000000"/>
                <w:sz w:val="24"/>
                <w:szCs w:val="24"/>
              </w:rPr>
              <w:t>Экспобанк</w:t>
            </w:r>
            <w:proofErr w:type="spellEnd"/>
            <w:r w:rsidRPr="00F279AB">
              <w:rPr>
                <w:rFonts w:ascii="Times New Roman" w:eastAsia="Times New Roman" w:hAnsi="Times New Roman" w:cs="Times New Roman"/>
                <w:color w:val="000000"/>
                <w:sz w:val="24"/>
                <w:szCs w:val="24"/>
              </w:rPr>
              <w:t xml:space="preserve">»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D61E97" w:rsidRDefault="00037A5A" w:rsidP="00037A5A">
            <w:pPr>
              <w:rPr>
                <w:rFonts w:ascii="Times New Roman" w:eastAsia="Times New Roman" w:hAnsi="Times New Roman" w:cs="Times New Roman"/>
                <w:i/>
                <w:color w:val="000000" w:themeColor="text1"/>
                <w:sz w:val="24"/>
                <w:szCs w:val="24"/>
                <w:u w:val="single"/>
              </w:rPr>
            </w:pPr>
            <w:proofErr w:type="gramStart"/>
            <w:r w:rsidRPr="00F279AB">
              <w:rPr>
                <w:rFonts w:ascii="Times New Roman" w:eastAsia="Times New Roman" w:hAnsi="Times New Roman" w:cs="Times New Roman"/>
                <w:color w:val="000000" w:themeColor="text1"/>
                <w:sz w:val="24"/>
                <w:szCs w:val="24"/>
              </w:rPr>
              <w:t>Е</w:t>
            </w:r>
            <w:proofErr w:type="gramEnd"/>
            <w:r w:rsidRPr="00D61E97">
              <w:rPr>
                <w:rFonts w:ascii="Times New Roman" w:eastAsia="Times New Roman" w:hAnsi="Times New Roman" w:cs="Times New Roman"/>
                <w:color w:val="000000" w:themeColor="text1"/>
                <w:sz w:val="24"/>
                <w:szCs w:val="24"/>
              </w:rPr>
              <w:t>-</w:t>
            </w:r>
            <w:r w:rsidRPr="00F279AB">
              <w:rPr>
                <w:rFonts w:ascii="Times New Roman" w:eastAsia="Times New Roman" w:hAnsi="Times New Roman" w:cs="Times New Roman"/>
                <w:color w:val="000000" w:themeColor="text1"/>
                <w:sz w:val="24"/>
                <w:szCs w:val="24"/>
                <w:lang w:val="en-US"/>
              </w:rPr>
              <w:t>mail</w:t>
            </w:r>
            <w:r w:rsidRPr="00D61E97">
              <w:rPr>
                <w:rFonts w:ascii="Times New Roman" w:eastAsia="Times New Roman" w:hAnsi="Times New Roman" w:cs="Times New Roman"/>
                <w:color w:val="000000" w:themeColor="text1"/>
                <w:sz w:val="24"/>
                <w:szCs w:val="24"/>
              </w:rPr>
              <w:t>:</w:t>
            </w:r>
            <w:r w:rsidRPr="00D61E97">
              <w:rPr>
                <w:rFonts w:ascii="Times New Roman" w:eastAsia="Times New Roman" w:hAnsi="Times New Roman" w:cs="Times New Roman"/>
                <w:color w:val="000000" w:themeColor="text1"/>
                <w:sz w:val="24"/>
                <w:szCs w:val="24"/>
                <w:u w:val="single"/>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D61E97">
                <w:rPr>
                  <w:rFonts w:ascii="Times New Roman" w:eastAsia="Times New Roman" w:hAnsi="Times New Roman" w:cs="Times New Roman"/>
                  <w:color w:val="000000" w:themeColor="text1"/>
                  <w:sz w:val="24"/>
                  <w:szCs w:val="24"/>
                  <w:u w:val="single"/>
                </w:rPr>
                <w:t>@</w:t>
              </w:r>
              <w:r w:rsidRPr="00F279AB">
                <w:rPr>
                  <w:rFonts w:ascii="Times New Roman" w:eastAsia="Times New Roman" w:hAnsi="Times New Roman" w:cs="Times New Roman"/>
                  <w:color w:val="000000" w:themeColor="text1"/>
                  <w:sz w:val="24"/>
                  <w:szCs w:val="24"/>
                  <w:u w:val="single"/>
                  <w:lang w:val="en-US"/>
                </w:rPr>
                <w:t>ecran</w:t>
              </w:r>
              <w:r w:rsidRPr="00D61E97">
                <w:rPr>
                  <w:rFonts w:ascii="Times New Roman" w:eastAsia="Times New Roman" w:hAnsi="Times New Roman" w:cs="Times New Roman"/>
                  <w:color w:val="000000" w:themeColor="text1"/>
                  <w:sz w:val="24"/>
                  <w:szCs w:val="24"/>
                  <w:u w:val="single"/>
                </w:rPr>
                <w:t>.</w:t>
              </w:r>
              <w:r w:rsidRPr="00F279AB">
                <w:rPr>
                  <w:rFonts w:ascii="Times New Roman" w:eastAsia="Times New Roman" w:hAnsi="Times New Roman" w:cs="Times New Roman"/>
                  <w:color w:val="000000" w:themeColor="text1"/>
                  <w:sz w:val="24"/>
                  <w:szCs w:val="24"/>
                  <w:u w:val="single"/>
                  <w:lang w:val="en-US"/>
                </w:rPr>
                <w:t>ru</w:t>
              </w:r>
            </w:hyperlink>
            <w:r w:rsidRPr="00D61E97">
              <w:rPr>
                <w:rFonts w:ascii="Times New Roman" w:eastAsia="Times New Roman" w:hAnsi="Times New Roman" w:cs="Times New Roman"/>
                <w:color w:val="000000" w:themeColor="text1"/>
                <w:sz w:val="24"/>
                <w:szCs w:val="24"/>
                <w:u w:val="single"/>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D61E97">
                <w:rPr>
                  <w:rFonts w:ascii="Times New Roman" w:eastAsia="Times New Roman" w:hAnsi="Times New Roman" w:cs="Times New Roman"/>
                  <w:i/>
                  <w:color w:val="000000" w:themeColor="text1"/>
                  <w:sz w:val="24"/>
                  <w:szCs w:val="24"/>
                  <w:u w:val="single"/>
                </w:rPr>
                <w:t>.</w:t>
              </w:r>
              <w:r w:rsidRPr="00F279AB">
                <w:rPr>
                  <w:rFonts w:ascii="Times New Roman" w:eastAsia="Times New Roman" w:hAnsi="Times New Roman" w:cs="Times New Roman"/>
                  <w:i/>
                  <w:color w:val="000000" w:themeColor="text1"/>
                  <w:sz w:val="24"/>
                  <w:szCs w:val="24"/>
                  <w:u w:val="single"/>
                  <w:lang w:val="en-US"/>
                </w:rPr>
                <w:t>ecran</w:t>
              </w:r>
              <w:r w:rsidRPr="00D61E97">
                <w:rPr>
                  <w:rFonts w:ascii="Times New Roman" w:eastAsia="Times New Roman" w:hAnsi="Times New Roman" w:cs="Times New Roman"/>
                  <w:i/>
                  <w:color w:val="000000" w:themeColor="text1"/>
                  <w:sz w:val="24"/>
                  <w:szCs w:val="24"/>
                  <w:u w:val="single"/>
                </w:rPr>
                <w:t>.</w:t>
              </w:r>
              <w:r w:rsidRPr="00F279AB">
                <w:rPr>
                  <w:rFonts w:ascii="Times New Roman" w:eastAsia="Times New Roman" w:hAnsi="Times New Roman" w:cs="Times New Roman"/>
                  <w:i/>
                  <w:color w:val="000000" w:themeColor="text1"/>
                  <w:sz w:val="24"/>
                  <w:szCs w:val="24"/>
                  <w:u w:val="single"/>
                  <w:lang w:val="en-US"/>
                </w:rPr>
                <w:t>ru</w:t>
              </w:r>
            </w:hyperlink>
          </w:p>
          <w:p w:rsidR="00037A5A" w:rsidRPr="00D61E97" w:rsidRDefault="00037A5A" w:rsidP="00037A5A">
            <w:pPr>
              <w:rPr>
                <w:rFonts w:ascii="Times New Roman" w:eastAsia="Times New Roman" w:hAnsi="Times New Roman" w:cs="Times New Roman"/>
                <w:i/>
                <w:color w:val="000000" w:themeColor="text1"/>
                <w:sz w:val="24"/>
                <w:szCs w:val="24"/>
                <w:u w:val="single"/>
              </w:rPr>
            </w:pP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ООО «</w:t>
            </w:r>
            <w:proofErr w:type="spellStart"/>
            <w:r w:rsidRPr="00F279AB">
              <w:rPr>
                <w:rFonts w:ascii="Times New Roman" w:eastAsia="Times New Roman" w:hAnsi="Times New Roman" w:cs="Times New Roman"/>
                <w:color w:val="000000"/>
                <w:sz w:val="24"/>
                <w:szCs w:val="24"/>
              </w:rPr>
              <w:t>Сибстекло</w:t>
            </w:r>
            <w:proofErr w:type="spellEnd"/>
            <w:r w:rsidRPr="00F279AB">
              <w:rPr>
                <w:rFonts w:ascii="Times New Roman" w:eastAsia="Times New Roman" w:hAnsi="Times New Roman" w:cs="Times New Roman"/>
                <w:color w:val="000000"/>
                <w:sz w:val="24"/>
                <w:szCs w:val="24"/>
              </w:rPr>
              <w:t>»</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Генеральный директор управляющей</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организац</w:t>
            </w:r>
            <w:proofErr w:type="gramStart"/>
            <w:r w:rsidRPr="00F279AB">
              <w:rPr>
                <w:rFonts w:ascii="Times New Roman" w:eastAsia="Times New Roman" w:hAnsi="Times New Roman" w:cs="Times New Roman"/>
                <w:color w:val="000000"/>
                <w:sz w:val="24"/>
                <w:szCs w:val="24"/>
              </w:rPr>
              <w:t>ии АО</w:t>
            </w:r>
            <w:proofErr w:type="gramEnd"/>
            <w:r w:rsidRPr="00F279AB">
              <w:rPr>
                <w:rFonts w:ascii="Times New Roman" w:eastAsia="Times New Roman" w:hAnsi="Times New Roman" w:cs="Times New Roman"/>
                <w:color w:val="000000"/>
                <w:sz w:val="24"/>
                <w:szCs w:val="24"/>
              </w:rPr>
              <w:t xml:space="preserve"> «Завод «Экран»</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Pr="00F279AB">
              <w:rPr>
                <w:rFonts w:ascii="Times New Roman" w:eastAsia="Times New Roman" w:hAnsi="Times New Roman" w:cs="Times New Roman"/>
                <w:b/>
                <w:color w:val="000000"/>
                <w:sz w:val="24"/>
                <w:szCs w:val="24"/>
              </w:rPr>
              <w:t>А. С. Яковлев</w:t>
            </w:r>
          </w:p>
          <w:p w:rsidR="00037A5A" w:rsidRDefault="00037A5A" w:rsidP="00037A5A"/>
        </w:tc>
        <w:tc>
          <w:tcPr>
            <w:tcW w:w="5211" w:type="dxa"/>
          </w:tcPr>
          <w:p w:rsidR="00037A5A" w:rsidRDefault="00037A5A" w:rsidP="00037A5A"/>
        </w:tc>
      </w:tr>
    </w:tbl>
    <w:p w:rsidR="00037A5A" w:rsidRPr="00037A5A" w:rsidRDefault="00037A5A" w:rsidP="00037A5A"/>
    <w:p w:rsidR="00037A5A" w:rsidRPr="00037A5A" w:rsidRDefault="00037A5A" w:rsidP="00037A5A"/>
    <w:p w:rsidR="00037A5A" w:rsidRDefault="00037A5A" w:rsidP="00037A5A"/>
    <w:p w:rsidR="00D47A85" w:rsidRPr="00037A5A" w:rsidRDefault="00037A5A" w:rsidP="00037A5A">
      <w:pPr>
        <w:spacing w:after="0" w:line="240" w:lineRule="auto"/>
      </w:pPr>
      <w:r>
        <w:tab/>
      </w:r>
    </w:p>
    <w:p w:rsidR="00037A5A" w:rsidRPr="00037A5A" w:rsidRDefault="00037A5A">
      <w:pPr>
        <w:tabs>
          <w:tab w:val="left" w:pos="1628"/>
        </w:tabs>
      </w:pPr>
    </w:p>
    <w:sectPr w:rsidR="00037A5A" w:rsidRPr="00037A5A" w:rsidSect="00037A5A">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98" w:rsidRDefault="00034E98" w:rsidP="007E2A8D">
      <w:pPr>
        <w:spacing w:after="0" w:line="240" w:lineRule="auto"/>
      </w:pPr>
      <w:r>
        <w:separator/>
      </w:r>
    </w:p>
  </w:endnote>
  <w:endnote w:type="continuationSeparator" w:id="0">
    <w:p w:rsidR="00034E98" w:rsidRDefault="00034E98"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D61E97">
              <w:rPr>
                <w:rFonts w:ascii="Times New Roman" w:hAnsi="Times New Roman" w:cs="Times New Roman"/>
                <w:b/>
                <w:bCs/>
                <w:noProof/>
              </w:rPr>
              <w:t>2</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D61E97">
              <w:rPr>
                <w:rFonts w:ascii="Times New Roman" w:hAnsi="Times New Roman" w:cs="Times New Roman"/>
                <w:b/>
                <w:bCs/>
                <w:noProof/>
              </w:rPr>
              <w:t>5</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98" w:rsidRDefault="00034E98" w:rsidP="007E2A8D">
      <w:pPr>
        <w:spacing w:after="0" w:line="240" w:lineRule="auto"/>
      </w:pPr>
      <w:r>
        <w:separator/>
      </w:r>
    </w:p>
  </w:footnote>
  <w:footnote w:type="continuationSeparator" w:id="0">
    <w:p w:rsidR="00034E98" w:rsidRDefault="00034E98"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11217B"/>
    <w:rsid w:val="00495571"/>
    <w:rsid w:val="006948E1"/>
    <w:rsid w:val="007B4DAF"/>
    <w:rsid w:val="007E2A8D"/>
    <w:rsid w:val="00C474F5"/>
    <w:rsid w:val="00CE21CD"/>
    <w:rsid w:val="00D2591F"/>
    <w:rsid w:val="00D47A85"/>
    <w:rsid w:val="00D53DEC"/>
    <w:rsid w:val="00D61E97"/>
    <w:rsid w:val="00E5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308D-D85C-4FD3-B6DF-AFFDFE44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4</cp:revision>
  <dcterms:created xsi:type="dcterms:W3CDTF">2018-05-11T02:33:00Z</dcterms:created>
  <dcterms:modified xsi:type="dcterms:W3CDTF">2018-05-16T07:51:00Z</dcterms:modified>
</cp:coreProperties>
</file>